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BECE6B0" w14:textId="77777777" w:rsidR="00A17B67" w:rsidRDefault="00A27099">
      <w:pPr>
        <w:pStyle w:val="Title"/>
        <w:keepNext w:val="0"/>
        <w:keepLines w:val="0"/>
        <w:jc w:val="center"/>
        <w:rPr>
          <w:rFonts w:ascii="Calibri" w:eastAsia="Calibri" w:hAnsi="Calibri" w:cs="Calibri"/>
          <w:b/>
          <w:color w:val="027F42"/>
          <w:sz w:val="40"/>
          <w:szCs w:val="40"/>
        </w:rPr>
      </w:pPr>
      <w:bookmarkStart w:id="0" w:name="_mwv0gt14aipb" w:colFirst="0" w:colLast="0"/>
      <w:bookmarkEnd w:id="0"/>
      <w:r>
        <w:rPr>
          <w:rFonts w:ascii="Calibri" w:eastAsia="Calibri" w:hAnsi="Calibri" w:cs="Calibri"/>
          <w:b/>
          <w:color w:val="027F42"/>
          <w:sz w:val="40"/>
          <w:szCs w:val="40"/>
        </w:rPr>
        <w:t>Policy with Purpose: Building Clear, Supportive PED Policies under EO 25-09</w:t>
      </w:r>
    </w:p>
    <w:p w14:paraId="5A5ACCCC" w14:textId="77777777" w:rsidR="00A17B67" w:rsidRDefault="00A27099">
      <w:pPr>
        <w:spacing w:before="240" w:after="240"/>
        <w:rPr>
          <w:rFonts w:ascii="Calibri" w:eastAsia="Calibri" w:hAnsi="Calibri" w:cs="Calibri"/>
          <w:sz w:val="24"/>
          <w:szCs w:val="24"/>
        </w:rPr>
      </w:pPr>
      <w:r>
        <w:rPr>
          <w:rFonts w:ascii="Calibri" w:eastAsia="Calibri" w:hAnsi="Calibri" w:cs="Calibri"/>
          <w:sz w:val="24"/>
          <w:szCs w:val="24"/>
        </w:rPr>
        <w:t>To comply with Governor Kotek’s Executive Order 25-09, all district-level Personal Electronic Device (PED) policies must include specific components that ensure they are legally sound, developmentally appropriate, and consistently applied across grade levels. These required elements also uphold students’ civil rights by providing necessary exemptions and emphasizing supportive, non-punitive enforcement.</w:t>
      </w:r>
    </w:p>
    <w:tbl>
      <w:tblPr>
        <w:tblStyle w:val="a"/>
        <w:tblW w:w="108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10800"/>
      </w:tblGrid>
      <w:tr w:rsidR="00A17B67" w14:paraId="198009CC" w14:textId="77777777" w:rsidTr="00A27099">
        <w:tc>
          <w:tcPr>
            <w:tcW w:w="10800" w:type="dxa"/>
            <w:shd w:val="clear" w:color="auto" w:fill="D9EAD3"/>
            <w:tcMar>
              <w:top w:w="100" w:type="dxa"/>
              <w:left w:w="100" w:type="dxa"/>
              <w:bottom w:w="100" w:type="dxa"/>
              <w:right w:w="100" w:type="dxa"/>
            </w:tcMar>
          </w:tcPr>
          <w:p w14:paraId="686F864C"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 xml:space="preserve">Districts are encouraged to use </w:t>
            </w:r>
            <w:hyperlink r:id="rId7">
              <w:r>
                <w:rPr>
                  <w:rFonts w:ascii="Calibri" w:eastAsia="Calibri" w:hAnsi="Calibri" w:cs="Calibri"/>
                  <w:color w:val="1155CC"/>
                  <w:sz w:val="24"/>
                  <w:szCs w:val="24"/>
                  <w:u w:val="single"/>
                </w:rPr>
                <w:t>OSBA’s sample policy</w:t>
              </w:r>
            </w:hyperlink>
            <w:r>
              <w:rPr>
                <w:rFonts w:ascii="Calibri" w:eastAsia="Calibri" w:hAnsi="Calibri" w:cs="Calibri"/>
                <w:sz w:val="24"/>
                <w:szCs w:val="24"/>
              </w:rPr>
              <w:t xml:space="preserve"> as a foundational resource aligned with the Executive Order, providing a strong basis from which to build and customize local policies.</w:t>
            </w:r>
          </w:p>
        </w:tc>
      </w:tr>
    </w:tbl>
    <w:p w14:paraId="60049812" w14:textId="77777777" w:rsidR="00A17B67" w:rsidRDefault="00A27099">
      <w:pPr>
        <w:spacing w:before="240" w:after="240"/>
        <w:rPr>
          <w:rFonts w:ascii="Calibri" w:eastAsia="Calibri" w:hAnsi="Calibri" w:cs="Calibri"/>
          <w:sz w:val="24"/>
          <w:szCs w:val="24"/>
        </w:rPr>
      </w:pPr>
      <w:r>
        <w:rPr>
          <w:rFonts w:ascii="Calibri" w:eastAsia="Calibri" w:hAnsi="Calibri" w:cs="Calibri"/>
          <w:sz w:val="24"/>
          <w:szCs w:val="24"/>
        </w:rPr>
        <w:t>If districts choose to develop their own policies or revise OSBA’s sample policy, they must ensure the inclusion of four key elements, Scope, Definitions, Exemptions, and Response to Non-Compliance. Sample language to guide alignment is provided below. While districts may incorporate additional local details, these components must be clearly defined to meet state requirements.</w:t>
      </w:r>
    </w:p>
    <w:tbl>
      <w:tblPr>
        <w:tblStyle w:val="a0"/>
        <w:tblW w:w="10800" w:type="dxa"/>
        <w:tblInd w:w="0" w:type="dxa"/>
        <w:tblBorders>
          <w:top w:val="nil"/>
          <w:left w:val="nil"/>
          <w:bottom w:val="nil"/>
          <w:right w:val="nil"/>
          <w:insideH w:val="nil"/>
          <w:insideV w:val="nil"/>
        </w:tblBorders>
        <w:tblLayout w:type="fixed"/>
        <w:tblLook w:val="0620" w:firstRow="1" w:lastRow="0" w:firstColumn="0" w:lastColumn="0" w:noHBand="1" w:noVBand="1"/>
      </w:tblPr>
      <w:tblGrid>
        <w:gridCol w:w="2280"/>
        <w:gridCol w:w="2880"/>
        <w:gridCol w:w="5640"/>
      </w:tblGrid>
      <w:tr w:rsidR="00A17B67" w14:paraId="2EA33B94" w14:textId="77777777" w:rsidTr="00A27099">
        <w:trPr>
          <w:tblHeader/>
        </w:trPr>
        <w:tc>
          <w:tcPr>
            <w:tcW w:w="2280" w:type="dxa"/>
            <w:tcBorders>
              <w:top w:val="single" w:sz="4" w:space="0" w:color="000000"/>
              <w:left w:val="single" w:sz="4" w:space="0" w:color="000000"/>
              <w:bottom w:val="single" w:sz="4" w:space="0" w:color="000000"/>
              <w:right w:val="single" w:sz="4" w:space="0" w:color="000000"/>
            </w:tcBorders>
            <w:shd w:val="clear" w:color="auto" w:fill="027F42"/>
            <w:tcMar>
              <w:top w:w="100" w:type="dxa"/>
              <w:left w:w="100" w:type="dxa"/>
              <w:bottom w:w="100" w:type="dxa"/>
              <w:right w:w="100" w:type="dxa"/>
            </w:tcMar>
          </w:tcPr>
          <w:p w14:paraId="2B4AD6E3" w14:textId="77777777" w:rsidR="00A17B67" w:rsidRDefault="00A27099">
            <w:pPr>
              <w:jc w:val="center"/>
              <w:rPr>
                <w:rFonts w:ascii="Calibri" w:eastAsia="Calibri" w:hAnsi="Calibri" w:cs="Calibri"/>
                <w:b/>
                <w:color w:val="FFFFFF"/>
                <w:sz w:val="24"/>
                <w:szCs w:val="24"/>
              </w:rPr>
            </w:pPr>
            <w:r>
              <w:rPr>
                <w:rFonts w:ascii="Calibri" w:eastAsia="Calibri" w:hAnsi="Calibri" w:cs="Calibri"/>
                <w:b/>
                <w:color w:val="FFFFFF"/>
                <w:sz w:val="24"/>
                <w:szCs w:val="24"/>
              </w:rPr>
              <w:t>Element</w:t>
            </w:r>
          </w:p>
        </w:tc>
        <w:tc>
          <w:tcPr>
            <w:tcW w:w="2880" w:type="dxa"/>
            <w:tcBorders>
              <w:top w:val="single" w:sz="4" w:space="0" w:color="000000"/>
              <w:left w:val="single" w:sz="4" w:space="0" w:color="000000"/>
              <w:bottom w:val="single" w:sz="4" w:space="0" w:color="000000"/>
              <w:right w:val="single" w:sz="4" w:space="0" w:color="000000"/>
            </w:tcBorders>
            <w:shd w:val="clear" w:color="auto" w:fill="027F42"/>
            <w:tcMar>
              <w:top w:w="100" w:type="dxa"/>
              <w:left w:w="100" w:type="dxa"/>
              <w:bottom w:w="100" w:type="dxa"/>
              <w:right w:w="100" w:type="dxa"/>
            </w:tcMar>
          </w:tcPr>
          <w:p w14:paraId="71228EF7" w14:textId="77777777" w:rsidR="00A17B67" w:rsidRDefault="00A27099">
            <w:pPr>
              <w:jc w:val="center"/>
              <w:rPr>
                <w:rFonts w:ascii="Calibri" w:eastAsia="Calibri" w:hAnsi="Calibri" w:cs="Calibri"/>
                <w:b/>
                <w:color w:val="FFFFFF"/>
                <w:sz w:val="24"/>
                <w:szCs w:val="24"/>
              </w:rPr>
            </w:pPr>
            <w:r>
              <w:rPr>
                <w:rFonts w:ascii="Calibri" w:eastAsia="Calibri" w:hAnsi="Calibri" w:cs="Calibri"/>
                <w:b/>
                <w:color w:val="FFFFFF"/>
                <w:sz w:val="24"/>
                <w:szCs w:val="24"/>
              </w:rPr>
              <w:t>Description</w:t>
            </w:r>
          </w:p>
        </w:tc>
        <w:tc>
          <w:tcPr>
            <w:tcW w:w="5640" w:type="dxa"/>
            <w:tcBorders>
              <w:top w:val="single" w:sz="4" w:space="0" w:color="000000"/>
              <w:left w:val="single" w:sz="4" w:space="0" w:color="000000"/>
              <w:bottom w:val="single" w:sz="4" w:space="0" w:color="000000"/>
              <w:right w:val="single" w:sz="4" w:space="0" w:color="000000"/>
            </w:tcBorders>
            <w:shd w:val="clear" w:color="auto" w:fill="027F42"/>
            <w:tcMar>
              <w:top w:w="100" w:type="dxa"/>
              <w:left w:w="100" w:type="dxa"/>
              <w:bottom w:w="100" w:type="dxa"/>
              <w:right w:w="100" w:type="dxa"/>
            </w:tcMar>
          </w:tcPr>
          <w:p w14:paraId="55D38507" w14:textId="77777777" w:rsidR="00A17B67" w:rsidRDefault="00A27099">
            <w:pPr>
              <w:jc w:val="center"/>
              <w:rPr>
                <w:rFonts w:ascii="Calibri" w:eastAsia="Calibri" w:hAnsi="Calibri" w:cs="Calibri"/>
                <w:b/>
                <w:color w:val="FFFFFF"/>
                <w:sz w:val="24"/>
                <w:szCs w:val="24"/>
              </w:rPr>
            </w:pPr>
            <w:r>
              <w:rPr>
                <w:rFonts w:ascii="Calibri" w:eastAsia="Calibri" w:hAnsi="Calibri" w:cs="Calibri"/>
                <w:b/>
                <w:color w:val="FFFFFF"/>
                <w:sz w:val="24"/>
                <w:szCs w:val="24"/>
              </w:rPr>
              <w:t>Sample Language</w:t>
            </w:r>
          </w:p>
        </w:tc>
      </w:tr>
      <w:tr w:rsidR="00A17B67" w14:paraId="1F4C105F" w14:textId="77777777" w:rsidTr="00A27099">
        <w:tc>
          <w:tcPr>
            <w:tcW w:w="2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317508"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Scope</w:t>
            </w:r>
          </w:p>
        </w:tc>
        <w:tc>
          <w:tcPr>
            <w:tcW w:w="28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638CB2"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Defines when and where PEDs are restricted</w:t>
            </w:r>
          </w:p>
        </w:tc>
        <w:tc>
          <w:tcPr>
            <w:tcW w:w="56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196BDF"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Personal electronic devices are prohibited from use, visibility, and sound from bell to bell, including passing time and lunch, unless a student has an approved exemption in accordance with the district-level policy.</w:t>
            </w:r>
          </w:p>
        </w:tc>
      </w:tr>
      <w:tr w:rsidR="00A17B67" w14:paraId="0559841A" w14:textId="77777777" w:rsidTr="00A27099">
        <w:tc>
          <w:tcPr>
            <w:tcW w:w="2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1CD57E"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Definitions</w:t>
            </w:r>
          </w:p>
        </w:tc>
        <w:tc>
          <w:tcPr>
            <w:tcW w:w="28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371978"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Clarifies what is covered by the policy</w:t>
            </w:r>
          </w:p>
        </w:tc>
        <w:tc>
          <w:tcPr>
            <w:tcW w:w="56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D8CA23"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 xml:space="preserve">"Personal Electronic Device" means any portable, electrically powered device that is capable </w:t>
            </w:r>
            <w:proofErr w:type="gramStart"/>
            <w:r>
              <w:rPr>
                <w:rFonts w:ascii="Calibri" w:eastAsia="Calibri" w:hAnsi="Calibri" w:cs="Calibri"/>
                <w:sz w:val="24"/>
                <w:szCs w:val="24"/>
              </w:rPr>
              <w:t>of,</w:t>
            </w:r>
            <w:proofErr w:type="gramEnd"/>
            <w:r>
              <w:rPr>
                <w:rFonts w:ascii="Calibri" w:eastAsia="Calibri" w:hAnsi="Calibri" w:cs="Calibri"/>
                <w:sz w:val="24"/>
                <w:szCs w:val="24"/>
              </w:rPr>
              <w:t xml:space="preserve"> making and receiving calls, making and receiving text messages, accessing the Internet independently from the school's network infrastructure</w:t>
            </w:r>
          </w:p>
          <w:p w14:paraId="6CCF8DBC"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This includes devices such as cell phones, smartphones, smartwatches, and other portable, internet-enabled</w:t>
            </w:r>
          </w:p>
          <w:p w14:paraId="717D4A26"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devices capable of texting, calling, or accessing the internet independently. Personal Electronic Devices do not</w:t>
            </w:r>
          </w:p>
          <w:p w14:paraId="6E928086"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include laptop computers or other technology explicitly required to support academic instruction or learning.</w:t>
            </w:r>
          </w:p>
        </w:tc>
      </w:tr>
      <w:tr w:rsidR="00A17B67" w14:paraId="7D2DA6C0" w14:textId="77777777" w:rsidTr="00A27099">
        <w:tc>
          <w:tcPr>
            <w:tcW w:w="2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2D90D1"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Exemptions</w:t>
            </w:r>
          </w:p>
        </w:tc>
        <w:tc>
          <w:tcPr>
            <w:tcW w:w="28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1984AF"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Ensures compliance with IDEA, Section 504, ADA</w:t>
            </w:r>
          </w:p>
        </w:tc>
        <w:tc>
          <w:tcPr>
            <w:tcW w:w="56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03F07C"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“Students with documented medical, learning, behavioral, or communication needs will receive an exemption to the PED ban as outlined in their IEP, 504, or support plan.”</w:t>
            </w:r>
          </w:p>
        </w:tc>
      </w:tr>
      <w:tr w:rsidR="00A17B67" w14:paraId="699F1AA8" w14:textId="77777777" w:rsidTr="00A27099">
        <w:tc>
          <w:tcPr>
            <w:tcW w:w="22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630E8E"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lastRenderedPageBreak/>
              <w:t>Response to Non-Compliance</w:t>
            </w:r>
          </w:p>
        </w:tc>
        <w:tc>
          <w:tcPr>
            <w:tcW w:w="28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3252B4"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Prevents punitive discipline</w:t>
            </w:r>
          </w:p>
        </w:tc>
        <w:tc>
          <w:tcPr>
            <w:tcW w:w="56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9B7331" w14:textId="77777777" w:rsidR="00A17B67" w:rsidRDefault="00A27099">
            <w:pPr>
              <w:jc w:val="center"/>
              <w:rPr>
                <w:rFonts w:ascii="Calibri" w:eastAsia="Calibri" w:hAnsi="Calibri" w:cs="Calibri"/>
                <w:sz w:val="24"/>
                <w:szCs w:val="24"/>
              </w:rPr>
            </w:pPr>
            <w:r>
              <w:rPr>
                <w:rFonts w:ascii="Calibri" w:eastAsia="Calibri" w:hAnsi="Calibri" w:cs="Calibri"/>
                <w:sz w:val="24"/>
                <w:szCs w:val="24"/>
              </w:rPr>
              <w:t>“When students violate the policy, our response will focus on reteaching expectations, supporting self-regulation, and repairing relationships, not exclusion or loss of instructional time.”</w:t>
            </w:r>
          </w:p>
        </w:tc>
      </w:tr>
    </w:tbl>
    <w:p w14:paraId="17CE998B" w14:textId="77777777" w:rsidR="00A17B67" w:rsidRDefault="00A27099">
      <w:pPr>
        <w:pStyle w:val="Heading1"/>
        <w:rPr>
          <w:rFonts w:ascii="Calibri" w:eastAsia="Calibri" w:hAnsi="Calibri" w:cs="Calibri"/>
          <w:b/>
          <w:color w:val="434343"/>
          <w:sz w:val="36"/>
          <w:szCs w:val="36"/>
        </w:rPr>
      </w:pPr>
      <w:bookmarkStart w:id="1" w:name="_8tt817ihfofl" w:colFirst="0" w:colLast="0"/>
      <w:bookmarkEnd w:id="1"/>
      <w:r>
        <w:rPr>
          <w:rFonts w:ascii="Calibri" w:eastAsia="Calibri" w:hAnsi="Calibri" w:cs="Calibri"/>
          <w:b/>
          <w:color w:val="434343"/>
          <w:sz w:val="36"/>
          <w:szCs w:val="36"/>
        </w:rPr>
        <w:t>Required Exemptions</w:t>
      </w:r>
    </w:p>
    <w:p w14:paraId="6BE51C4C" w14:textId="77777777" w:rsidR="00A17B67" w:rsidRDefault="00A27099">
      <w:pPr>
        <w:rPr>
          <w:rFonts w:ascii="Calibri" w:eastAsia="Calibri" w:hAnsi="Calibri" w:cs="Calibri"/>
          <w:sz w:val="24"/>
          <w:szCs w:val="24"/>
        </w:rPr>
      </w:pPr>
      <w:r>
        <w:rPr>
          <w:rFonts w:ascii="Calibri" w:eastAsia="Calibri" w:hAnsi="Calibri" w:cs="Calibri"/>
          <w:sz w:val="24"/>
          <w:szCs w:val="24"/>
        </w:rPr>
        <w:t xml:space="preserve">When developing a policy, it is essential to ensure that policy upholds legal requirements and does not infringe upon students’ civil rights or limit their access to learning. </w:t>
      </w:r>
    </w:p>
    <w:p w14:paraId="4F7B6F4B" w14:textId="77777777" w:rsidR="00A17B67" w:rsidRDefault="00A27099">
      <w:pPr>
        <w:numPr>
          <w:ilvl w:val="0"/>
          <w:numId w:val="4"/>
        </w:numPr>
        <w:rPr>
          <w:rFonts w:ascii="Calibri" w:eastAsia="Calibri" w:hAnsi="Calibri" w:cs="Calibri"/>
          <w:sz w:val="24"/>
          <w:szCs w:val="24"/>
        </w:rPr>
      </w:pPr>
      <w:r>
        <w:rPr>
          <w:rFonts w:ascii="Calibri" w:eastAsia="Calibri" w:hAnsi="Calibri" w:cs="Calibri"/>
          <w:b/>
          <w:sz w:val="24"/>
          <w:szCs w:val="24"/>
        </w:rPr>
        <w:t xml:space="preserve">ORS 336.840: </w:t>
      </w:r>
      <w:r>
        <w:rPr>
          <w:rFonts w:ascii="Calibri" w:eastAsia="Calibri" w:hAnsi="Calibri" w:cs="Calibri"/>
          <w:sz w:val="24"/>
          <w:szCs w:val="24"/>
        </w:rPr>
        <w:t xml:space="preserve">Schools must provide necessary accommodations and exemptions related to personal electronic </w:t>
      </w:r>
      <w:proofErr w:type="gramStart"/>
      <w:r>
        <w:rPr>
          <w:rFonts w:ascii="Calibri" w:eastAsia="Calibri" w:hAnsi="Calibri" w:cs="Calibri"/>
          <w:sz w:val="24"/>
          <w:szCs w:val="24"/>
        </w:rPr>
        <w:t>device use</w:t>
      </w:r>
      <w:proofErr w:type="gramEnd"/>
      <w:r>
        <w:rPr>
          <w:rFonts w:ascii="Calibri" w:eastAsia="Calibri" w:hAnsi="Calibri" w:cs="Calibri"/>
          <w:sz w:val="24"/>
          <w:szCs w:val="24"/>
        </w:rPr>
        <w:t xml:space="preserve"> to support student learning.</w:t>
      </w:r>
    </w:p>
    <w:p w14:paraId="4D696870" w14:textId="77777777" w:rsidR="00A17B67" w:rsidRDefault="00A27099">
      <w:pPr>
        <w:numPr>
          <w:ilvl w:val="0"/>
          <w:numId w:val="4"/>
        </w:numPr>
        <w:rPr>
          <w:rFonts w:ascii="Calibri" w:eastAsia="Calibri" w:hAnsi="Calibri" w:cs="Calibri"/>
          <w:sz w:val="24"/>
          <w:szCs w:val="24"/>
        </w:rPr>
      </w:pPr>
      <w:r>
        <w:rPr>
          <w:rFonts w:ascii="Calibri" w:eastAsia="Calibri" w:hAnsi="Calibri" w:cs="Calibri"/>
          <w:b/>
          <w:sz w:val="24"/>
          <w:szCs w:val="24"/>
        </w:rPr>
        <w:t xml:space="preserve">IDEA: </w:t>
      </w:r>
      <w:r>
        <w:rPr>
          <w:rFonts w:ascii="Calibri" w:eastAsia="Calibri" w:hAnsi="Calibri" w:cs="Calibri"/>
          <w:sz w:val="24"/>
          <w:szCs w:val="24"/>
        </w:rPr>
        <w:t>Students with disabilities must have access to technology needed to receive FAPE (Free and Appropriate Public Education).</w:t>
      </w:r>
    </w:p>
    <w:p w14:paraId="5FD86282" w14:textId="77777777" w:rsidR="00A17B67" w:rsidRDefault="00A27099">
      <w:pPr>
        <w:numPr>
          <w:ilvl w:val="0"/>
          <w:numId w:val="4"/>
        </w:numPr>
        <w:rPr>
          <w:rFonts w:ascii="Calibri" w:eastAsia="Calibri" w:hAnsi="Calibri" w:cs="Calibri"/>
          <w:sz w:val="24"/>
          <w:szCs w:val="24"/>
        </w:rPr>
      </w:pPr>
      <w:r>
        <w:rPr>
          <w:rFonts w:ascii="Calibri" w:eastAsia="Calibri" w:hAnsi="Calibri" w:cs="Calibri"/>
          <w:b/>
          <w:sz w:val="24"/>
          <w:szCs w:val="24"/>
        </w:rPr>
        <w:t xml:space="preserve">Section 504: </w:t>
      </w:r>
      <w:r>
        <w:rPr>
          <w:rFonts w:ascii="Calibri" w:eastAsia="Calibri" w:hAnsi="Calibri" w:cs="Calibri"/>
          <w:sz w:val="24"/>
          <w:szCs w:val="24"/>
        </w:rPr>
        <w:t xml:space="preserve">Any student with a documented need (medical, learning, emotional) is entitled to reasonable </w:t>
      </w:r>
      <w:proofErr w:type="gramStart"/>
      <w:r>
        <w:rPr>
          <w:rFonts w:ascii="Calibri" w:eastAsia="Calibri" w:hAnsi="Calibri" w:cs="Calibri"/>
          <w:sz w:val="24"/>
          <w:szCs w:val="24"/>
        </w:rPr>
        <w:t>accommodations</w:t>
      </w:r>
      <w:proofErr w:type="gramEnd"/>
      <w:r>
        <w:rPr>
          <w:rFonts w:ascii="Calibri" w:eastAsia="Calibri" w:hAnsi="Calibri" w:cs="Calibri"/>
          <w:sz w:val="24"/>
          <w:szCs w:val="24"/>
        </w:rPr>
        <w:t>.</w:t>
      </w:r>
    </w:p>
    <w:p w14:paraId="0B47FC8E" w14:textId="77777777" w:rsidR="00A17B67" w:rsidRDefault="00A27099">
      <w:pPr>
        <w:numPr>
          <w:ilvl w:val="0"/>
          <w:numId w:val="4"/>
        </w:numPr>
        <w:spacing w:after="240"/>
        <w:rPr>
          <w:rFonts w:ascii="Calibri" w:eastAsia="Calibri" w:hAnsi="Calibri" w:cs="Calibri"/>
          <w:sz w:val="24"/>
          <w:szCs w:val="24"/>
        </w:rPr>
      </w:pPr>
      <w:r>
        <w:rPr>
          <w:rFonts w:ascii="Calibri" w:eastAsia="Calibri" w:hAnsi="Calibri" w:cs="Calibri"/>
          <w:b/>
          <w:sz w:val="24"/>
          <w:szCs w:val="24"/>
        </w:rPr>
        <w:t>Title VI and Language Access:</w:t>
      </w:r>
      <w:r>
        <w:rPr>
          <w:rFonts w:ascii="Calibri" w:eastAsia="Calibri" w:hAnsi="Calibri" w:cs="Calibri"/>
          <w:sz w:val="24"/>
          <w:szCs w:val="24"/>
        </w:rPr>
        <w:t xml:space="preserve"> Students must not be penalized for using tech-based translation or interpretation tools needed for comprehension.</w:t>
      </w:r>
    </w:p>
    <w:p w14:paraId="63B09991" w14:textId="77777777" w:rsidR="00A17B67" w:rsidRDefault="00A27099">
      <w:pPr>
        <w:spacing w:before="240" w:after="240"/>
        <w:rPr>
          <w:rFonts w:ascii="Calibri" w:eastAsia="Calibri" w:hAnsi="Calibri" w:cs="Calibri"/>
          <w:b/>
          <w:sz w:val="24"/>
          <w:szCs w:val="24"/>
        </w:rPr>
      </w:pPr>
      <w:r>
        <w:rPr>
          <w:rFonts w:ascii="Calibri" w:eastAsia="Calibri" w:hAnsi="Calibri" w:cs="Calibri"/>
          <w:sz w:val="24"/>
          <w:szCs w:val="24"/>
        </w:rPr>
        <w:t xml:space="preserve">Under these laws, assistive technology and other regulatory tools must be accommodated when documented in a support plan, accommodations must be individualized and cannot be revoked due to general policies, and all enforcement must be free from discrimination and carried out with respect and dignity. </w:t>
      </w:r>
      <w:r>
        <w:rPr>
          <w:rFonts w:ascii="Calibri" w:eastAsia="Calibri" w:hAnsi="Calibri" w:cs="Calibri"/>
          <w:b/>
          <w:sz w:val="24"/>
          <w:szCs w:val="24"/>
        </w:rPr>
        <w:t xml:space="preserve">In alignment with EO 25-09 this means that students who have documented needs named </w:t>
      </w:r>
      <w:proofErr w:type="gramStart"/>
      <w:r>
        <w:rPr>
          <w:rFonts w:ascii="Calibri" w:eastAsia="Calibri" w:hAnsi="Calibri" w:cs="Calibri"/>
          <w:b/>
          <w:sz w:val="24"/>
          <w:szCs w:val="24"/>
        </w:rPr>
        <w:t>above,</w:t>
      </w:r>
      <w:proofErr w:type="gramEnd"/>
      <w:r>
        <w:rPr>
          <w:rFonts w:ascii="Calibri" w:eastAsia="Calibri" w:hAnsi="Calibri" w:cs="Calibri"/>
          <w:b/>
          <w:sz w:val="24"/>
          <w:szCs w:val="24"/>
        </w:rPr>
        <w:t xml:space="preserve"> should be provided with PED exemptions to support their learning.</w:t>
      </w:r>
    </w:p>
    <w:p w14:paraId="0900428B" w14:textId="77777777" w:rsidR="00A17B67" w:rsidRDefault="00A27099">
      <w:pPr>
        <w:pStyle w:val="Heading1"/>
        <w:keepNext w:val="0"/>
        <w:keepLines w:val="0"/>
        <w:spacing w:before="280"/>
        <w:rPr>
          <w:rFonts w:ascii="Calibri" w:eastAsia="Calibri" w:hAnsi="Calibri" w:cs="Calibri"/>
          <w:b/>
          <w:color w:val="434343"/>
          <w:sz w:val="36"/>
          <w:szCs w:val="36"/>
        </w:rPr>
      </w:pPr>
      <w:bookmarkStart w:id="2" w:name="_o38nanj4vtn" w:colFirst="0" w:colLast="0"/>
      <w:bookmarkEnd w:id="2"/>
      <w:r>
        <w:rPr>
          <w:rFonts w:ascii="Calibri" w:eastAsia="Calibri" w:hAnsi="Calibri" w:cs="Calibri"/>
          <w:b/>
          <w:color w:val="434343"/>
          <w:sz w:val="36"/>
          <w:szCs w:val="36"/>
        </w:rPr>
        <w:t>Developing Equitable PED Policies</w:t>
      </w:r>
    </w:p>
    <w:p w14:paraId="6A05936E" w14:textId="77777777" w:rsidR="00A17B67" w:rsidRDefault="00A27099">
      <w:pPr>
        <w:spacing w:before="240" w:after="240"/>
        <w:rPr>
          <w:rFonts w:ascii="Calibri" w:eastAsia="Calibri" w:hAnsi="Calibri" w:cs="Calibri"/>
          <w:sz w:val="24"/>
          <w:szCs w:val="24"/>
        </w:rPr>
      </w:pPr>
      <w:r>
        <w:rPr>
          <w:rFonts w:ascii="Calibri" w:eastAsia="Calibri" w:hAnsi="Calibri" w:cs="Calibri"/>
          <w:sz w:val="24"/>
          <w:szCs w:val="24"/>
        </w:rPr>
        <w:t>As districts develop personal electronic device (PED) policies aligned with Executive Order 25-09, they must ensure adherence to the order’s core requirements while exercising discretion in key areas such as how devices are stored, enforcement of non-compliance, and whether to extend exemptions beyond those specified in IEPs, 504 plans, and medical needs. Thoughtful policy design is critical to avoid restrictions that may unintentionally disadvantage students, especially those who rely on devices for commun</w:t>
      </w:r>
      <w:r>
        <w:rPr>
          <w:rFonts w:ascii="Calibri" w:eastAsia="Calibri" w:hAnsi="Calibri" w:cs="Calibri"/>
          <w:sz w:val="24"/>
          <w:szCs w:val="24"/>
        </w:rPr>
        <w:t>ication, learning support, or medical needs, and to maintain an inclusive, legally compliant approach that addresses the diverse needs of all learners.</w:t>
      </w:r>
    </w:p>
    <w:p w14:paraId="72F5C0FE" w14:textId="77777777" w:rsidR="00A17B67" w:rsidRDefault="00A27099">
      <w:pPr>
        <w:pStyle w:val="Heading1"/>
        <w:spacing w:before="240" w:after="40"/>
        <w:rPr>
          <w:rFonts w:ascii="Calibri" w:eastAsia="Calibri" w:hAnsi="Calibri" w:cs="Calibri"/>
          <w:b/>
          <w:color w:val="434343"/>
          <w:sz w:val="36"/>
          <w:szCs w:val="36"/>
        </w:rPr>
      </w:pPr>
      <w:bookmarkStart w:id="3" w:name="_7hfkuewjqeub" w:colFirst="0" w:colLast="0"/>
      <w:bookmarkEnd w:id="3"/>
      <w:r>
        <w:rPr>
          <w:rFonts w:ascii="Calibri" w:eastAsia="Calibri" w:hAnsi="Calibri" w:cs="Calibri"/>
          <w:b/>
          <w:color w:val="434343"/>
          <w:sz w:val="36"/>
          <w:szCs w:val="36"/>
        </w:rPr>
        <w:t>Considerations in Policy Design</w:t>
      </w:r>
    </w:p>
    <w:p w14:paraId="58F9CEE7" w14:textId="77777777" w:rsidR="00A17B67" w:rsidRDefault="00A27099">
      <w:pPr>
        <w:numPr>
          <w:ilvl w:val="0"/>
          <w:numId w:val="1"/>
        </w:numPr>
        <w:spacing w:before="240"/>
        <w:rPr>
          <w:rFonts w:ascii="Calibri" w:eastAsia="Calibri" w:hAnsi="Calibri" w:cs="Calibri"/>
          <w:sz w:val="24"/>
          <w:szCs w:val="24"/>
        </w:rPr>
      </w:pPr>
      <w:r>
        <w:rPr>
          <w:rFonts w:ascii="Calibri" w:eastAsia="Calibri" w:hAnsi="Calibri" w:cs="Calibri"/>
          <w:sz w:val="24"/>
          <w:szCs w:val="24"/>
        </w:rPr>
        <w:t>Name Student Needs Explicitly: Acknowledge the unique needs of historically marginalized students and state the intent to promote distraction-free learning without exclusion.</w:t>
      </w:r>
    </w:p>
    <w:p w14:paraId="02834CDD" w14:textId="77777777" w:rsidR="00A17B67" w:rsidRDefault="00A27099">
      <w:pPr>
        <w:numPr>
          <w:ilvl w:val="0"/>
          <w:numId w:val="1"/>
        </w:numPr>
        <w:rPr>
          <w:rFonts w:ascii="Calibri" w:eastAsia="Calibri" w:hAnsi="Calibri" w:cs="Calibri"/>
          <w:sz w:val="24"/>
          <w:szCs w:val="24"/>
        </w:rPr>
      </w:pPr>
      <w:r>
        <w:rPr>
          <w:rFonts w:ascii="Calibri" w:eastAsia="Calibri" w:hAnsi="Calibri" w:cs="Calibri"/>
          <w:sz w:val="24"/>
          <w:szCs w:val="24"/>
        </w:rPr>
        <w:lastRenderedPageBreak/>
        <w:t>Use Culturally and Linguistically Responsive Language: Ensure policies are written in clear, plain language and made available in multiple languages to reflect the school community.</w:t>
      </w:r>
    </w:p>
    <w:p w14:paraId="02285EB4" w14:textId="77777777" w:rsidR="00A17B67" w:rsidRDefault="00A27099">
      <w:pPr>
        <w:numPr>
          <w:ilvl w:val="0"/>
          <w:numId w:val="1"/>
        </w:numPr>
        <w:spacing w:after="240"/>
        <w:rPr>
          <w:rFonts w:ascii="Calibri" w:eastAsia="Calibri" w:hAnsi="Calibri" w:cs="Calibri"/>
          <w:sz w:val="24"/>
          <w:szCs w:val="24"/>
        </w:rPr>
      </w:pPr>
      <w:r>
        <w:rPr>
          <w:rFonts w:ascii="Calibri" w:eastAsia="Calibri" w:hAnsi="Calibri" w:cs="Calibri"/>
          <w:sz w:val="24"/>
          <w:szCs w:val="24"/>
        </w:rPr>
        <w:t>Anticipate Disproportionate Impact: Build systems for ongoing monitoring of policy outcomes disaggregated by race, disability, and English learner (EL) status.</w:t>
      </w:r>
    </w:p>
    <w:p w14:paraId="61C5DD82" w14:textId="77777777" w:rsidR="00A17B67" w:rsidRDefault="00A27099">
      <w:pPr>
        <w:pStyle w:val="Heading1"/>
        <w:spacing w:before="280"/>
        <w:rPr>
          <w:rFonts w:ascii="Calibri" w:eastAsia="Calibri" w:hAnsi="Calibri" w:cs="Calibri"/>
          <w:b/>
          <w:color w:val="434343"/>
          <w:sz w:val="36"/>
          <w:szCs w:val="36"/>
        </w:rPr>
      </w:pPr>
      <w:bookmarkStart w:id="4" w:name="_xa978cat4k9t" w:colFirst="0" w:colLast="0"/>
      <w:bookmarkEnd w:id="4"/>
      <w:r>
        <w:rPr>
          <w:rFonts w:ascii="Calibri" w:eastAsia="Calibri" w:hAnsi="Calibri" w:cs="Calibri"/>
          <w:b/>
          <w:color w:val="434343"/>
          <w:sz w:val="36"/>
          <w:szCs w:val="36"/>
        </w:rPr>
        <w:t>Integrating Exemptions and Accommodations</w:t>
      </w:r>
    </w:p>
    <w:p w14:paraId="7ECFA4F3" w14:textId="77777777" w:rsidR="00A17B67" w:rsidRDefault="00A27099">
      <w:pPr>
        <w:spacing w:before="240" w:after="240"/>
        <w:rPr>
          <w:rFonts w:ascii="Arimo" w:eastAsia="Arimo" w:hAnsi="Arimo" w:cs="Arimo"/>
        </w:rPr>
      </w:pPr>
      <w:r>
        <w:rPr>
          <w:rFonts w:ascii="Calibri" w:eastAsia="Calibri" w:hAnsi="Calibri" w:cs="Calibri"/>
          <w:sz w:val="24"/>
          <w:szCs w:val="24"/>
        </w:rPr>
        <w:t>Under the IDEA, Section 504, and ADA, students with disabilities have the right to tools and supports necessary for learning and well-being. For some students, including those with disabilities, sensory processing challenges, ADHD, anxiety, or trauma histories, personal electronic devices are essential tools for medical monitoring, communication, and sensory or emotional regulation. These devices often support focus and engagement through apps like music, white noise, or tactile fidgets.</w:t>
      </w:r>
    </w:p>
    <w:tbl>
      <w:tblPr>
        <w:tblStyle w:val="a1"/>
        <w:tblW w:w="108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10800"/>
      </w:tblGrid>
      <w:tr w:rsidR="00A17B67" w14:paraId="60BD8142" w14:textId="77777777" w:rsidTr="00A27099">
        <w:tc>
          <w:tcPr>
            <w:tcW w:w="10800" w:type="dxa"/>
            <w:shd w:val="clear" w:color="auto" w:fill="D9EAD3"/>
            <w:tcMar>
              <w:top w:w="100" w:type="dxa"/>
              <w:left w:w="100" w:type="dxa"/>
              <w:bottom w:w="100" w:type="dxa"/>
              <w:right w:w="100" w:type="dxa"/>
            </w:tcMar>
          </w:tcPr>
          <w:p w14:paraId="7EF809F1" w14:textId="77777777" w:rsidR="00A17B67" w:rsidRDefault="00A27099">
            <w:pPr>
              <w:widowControl w:val="0"/>
              <w:spacing w:after="240" w:line="240" w:lineRule="auto"/>
              <w:jc w:val="center"/>
              <w:rPr>
                <w:rFonts w:ascii="Calibri" w:eastAsia="Calibri" w:hAnsi="Calibri" w:cs="Calibri"/>
                <w:b/>
                <w:sz w:val="24"/>
                <w:szCs w:val="24"/>
              </w:rPr>
            </w:pPr>
            <w:r>
              <w:rPr>
                <w:rFonts w:ascii="Calibri" w:eastAsia="Calibri" w:hAnsi="Calibri" w:cs="Calibri"/>
                <w:b/>
                <w:sz w:val="24"/>
                <w:szCs w:val="24"/>
              </w:rPr>
              <w:t>Important Considerations for PED Use and Exemptions</w:t>
            </w:r>
          </w:p>
          <w:p w14:paraId="0CA25292" w14:textId="77777777" w:rsidR="00A17B67" w:rsidRDefault="00A27099">
            <w:pPr>
              <w:widowControl w:val="0"/>
              <w:spacing w:after="240" w:line="240" w:lineRule="auto"/>
              <w:rPr>
                <w:rFonts w:ascii="Calibri" w:eastAsia="Calibri" w:hAnsi="Calibri" w:cs="Calibri"/>
                <w:b/>
                <w:sz w:val="24"/>
                <w:szCs w:val="24"/>
              </w:rPr>
            </w:pPr>
            <w:r>
              <w:rPr>
                <w:rFonts w:ascii="Calibri" w:eastAsia="Calibri" w:hAnsi="Calibri" w:cs="Calibri"/>
                <w:sz w:val="24"/>
                <w:szCs w:val="24"/>
              </w:rPr>
              <w:t>When determining exemptions for students with IEPs and 504s, it is important to recognize that some students, both with and without documented disabilities, may use personal electronic devices (PEDs) as essential communication tools. These devices can provide access to language supports, translation apps, spelling and grammar tools, note-taking apps, calendars, or assignment trackers. Such uses extend beyond self-regulation or emotional support and are critical for student success.</w:t>
            </w:r>
          </w:p>
          <w:p w14:paraId="4A4673CB" w14:textId="77777777" w:rsidR="00A17B67" w:rsidRDefault="00A27099">
            <w:pPr>
              <w:widowControl w:val="0"/>
              <w:spacing w:line="240" w:lineRule="auto"/>
              <w:rPr>
                <w:rFonts w:ascii="Calibri" w:eastAsia="Calibri" w:hAnsi="Calibri" w:cs="Calibri"/>
                <w:sz w:val="24"/>
                <w:szCs w:val="24"/>
              </w:rPr>
            </w:pPr>
            <w:r>
              <w:rPr>
                <w:rFonts w:ascii="Calibri" w:eastAsia="Calibri" w:hAnsi="Calibri" w:cs="Calibri"/>
                <w:sz w:val="24"/>
                <w:szCs w:val="24"/>
              </w:rPr>
              <w:t>When determining what qualifies as an exemption, it is important to:</w:t>
            </w:r>
          </w:p>
          <w:p w14:paraId="0BD51AE6" w14:textId="77777777" w:rsidR="00A17B67" w:rsidRDefault="00A27099">
            <w:pPr>
              <w:widowControl w:val="0"/>
              <w:numPr>
                <w:ilvl w:val="0"/>
                <w:numId w:val="3"/>
              </w:numPr>
              <w:spacing w:line="240" w:lineRule="auto"/>
              <w:rPr>
                <w:rFonts w:ascii="Calibri" w:eastAsia="Calibri" w:hAnsi="Calibri" w:cs="Calibri"/>
                <w:sz w:val="24"/>
                <w:szCs w:val="24"/>
              </w:rPr>
            </w:pPr>
            <w:r>
              <w:rPr>
                <w:rFonts w:ascii="Calibri" w:eastAsia="Calibri" w:hAnsi="Calibri" w:cs="Calibri"/>
                <w:sz w:val="24"/>
                <w:szCs w:val="24"/>
              </w:rPr>
              <w:t>Clearly specify that documented exemptions override any general restrictions on device use.</w:t>
            </w:r>
          </w:p>
          <w:p w14:paraId="0975AF77" w14:textId="77777777" w:rsidR="00A17B67" w:rsidRDefault="00A27099">
            <w:pPr>
              <w:widowControl w:val="0"/>
              <w:numPr>
                <w:ilvl w:val="0"/>
                <w:numId w:val="3"/>
              </w:numPr>
              <w:spacing w:line="240" w:lineRule="auto"/>
              <w:rPr>
                <w:rFonts w:ascii="Calibri" w:eastAsia="Calibri" w:hAnsi="Calibri" w:cs="Calibri"/>
                <w:sz w:val="24"/>
                <w:szCs w:val="24"/>
              </w:rPr>
            </w:pPr>
            <w:r>
              <w:rPr>
                <w:rFonts w:ascii="Calibri" w:eastAsia="Calibri" w:hAnsi="Calibri" w:cs="Calibri"/>
                <w:sz w:val="24"/>
                <w:szCs w:val="24"/>
              </w:rPr>
              <w:t xml:space="preserve">Ensure that the exemption process is accessible and transparent to all students and families. </w:t>
            </w:r>
          </w:p>
          <w:p w14:paraId="02D92DC5" w14:textId="77777777" w:rsidR="00A17B67" w:rsidRDefault="00A27099">
            <w:pPr>
              <w:widowControl w:val="0"/>
              <w:numPr>
                <w:ilvl w:val="0"/>
                <w:numId w:val="3"/>
              </w:numPr>
              <w:spacing w:line="240" w:lineRule="auto"/>
              <w:rPr>
                <w:rFonts w:ascii="Calibri" w:eastAsia="Calibri" w:hAnsi="Calibri" w:cs="Calibri"/>
                <w:sz w:val="24"/>
                <w:szCs w:val="24"/>
              </w:rPr>
            </w:pPr>
            <w:r>
              <w:rPr>
                <w:rFonts w:ascii="Calibri" w:eastAsia="Calibri" w:hAnsi="Calibri" w:cs="Calibri"/>
                <w:sz w:val="24"/>
                <w:szCs w:val="24"/>
              </w:rPr>
              <w:t>Develop these processes collaboratively with student support teams to address individual needs effectively.</w:t>
            </w:r>
          </w:p>
        </w:tc>
      </w:tr>
    </w:tbl>
    <w:p w14:paraId="61149EA3" w14:textId="77777777" w:rsidR="00A17B67" w:rsidRDefault="00A27099">
      <w:pPr>
        <w:pStyle w:val="Heading2"/>
        <w:spacing w:before="200" w:after="0"/>
        <w:rPr>
          <w:rFonts w:ascii="Calibri" w:eastAsia="Calibri" w:hAnsi="Calibri" w:cs="Calibri"/>
          <w:b/>
          <w:color w:val="027F42"/>
        </w:rPr>
      </w:pPr>
      <w:bookmarkStart w:id="5" w:name="_yp0em02hf5c0" w:colFirst="0" w:colLast="0"/>
      <w:bookmarkEnd w:id="5"/>
      <w:r>
        <w:rPr>
          <w:rFonts w:ascii="Calibri" w:eastAsia="Calibri" w:hAnsi="Calibri" w:cs="Calibri"/>
          <w:b/>
          <w:color w:val="027F42"/>
        </w:rPr>
        <w:t>Sharing What is Needed, Protecting What is Private</w:t>
      </w:r>
    </w:p>
    <w:p w14:paraId="6F16C601" w14:textId="77777777" w:rsidR="00A17B67" w:rsidRDefault="00A27099">
      <w:pPr>
        <w:spacing w:after="240"/>
        <w:rPr>
          <w:rFonts w:ascii="Calibri" w:eastAsia="Calibri" w:hAnsi="Calibri" w:cs="Calibri"/>
          <w:sz w:val="24"/>
          <w:szCs w:val="24"/>
        </w:rPr>
      </w:pPr>
      <w:r>
        <w:rPr>
          <w:rFonts w:ascii="Calibri" w:eastAsia="Calibri" w:hAnsi="Calibri" w:cs="Calibri"/>
          <w:sz w:val="24"/>
          <w:szCs w:val="24"/>
        </w:rPr>
        <w:t xml:space="preserve">To ensure students receive the exemptions they are entitled to, schools must design a clear and confidential system for communicating exemptions (as aligned with EO 25-09 and district policies) </w:t>
      </w:r>
      <w:proofErr w:type="gramStart"/>
      <w:r>
        <w:rPr>
          <w:rFonts w:ascii="Calibri" w:eastAsia="Calibri" w:hAnsi="Calibri" w:cs="Calibri"/>
          <w:sz w:val="24"/>
          <w:szCs w:val="24"/>
        </w:rPr>
        <w:t>to</w:t>
      </w:r>
      <w:proofErr w:type="gramEnd"/>
      <w:r>
        <w:rPr>
          <w:rFonts w:ascii="Calibri" w:eastAsia="Calibri" w:hAnsi="Calibri" w:cs="Calibri"/>
          <w:sz w:val="24"/>
          <w:szCs w:val="24"/>
        </w:rPr>
        <w:t xml:space="preserve"> all relevant staff, including teachers, aides, substitutes, bus drivers, and custodians. This process should align with FERPA by sharing only the information necessary for staff to support the </w:t>
      </w:r>
      <w:proofErr w:type="gramStart"/>
      <w:r>
        <w:rPr>
          <w:rFonts w:ascii="Calibri" w:eastAsia="Calibri" w:hAnsi="Calibri" w:cs="Calibri"/>
          <w:sz w:val="24"/>
          <w:szCs w:val="24"/>
        </w:rPr>
        <w:t>student’s</w:t>
      </w:r>
      <w:proofErr w:type="gramEnd"/>
      <w:r>
        <w:rPr>
          <w:rFonts w:ascii="Calibri" w:eastAsia="Calibri" w:hAnsi="Calibri" w:cs="Calibri"/>
          <w:sz w:val="24"/>
          <w:szCs w:val="24"/>
        </w:rPr>
        <w:t xml:space="preserve"> access and well-being. Consider using a secure, need-to-know list or coded indicators within internal rosters that flag approved exemptions without disclosing sensitive details. Whenever possible, provide brief guidance on how staff should respond if a student with an exemption is using a device, reinforc</w:t>
      </w:r>
      <w:r>
        <w:rPr>
          <w:rFonts w:ascii="Calibri" w:eastAsia="Calibri" w:hAnsi="Calibri" w:cs="Calibri"/>
          <w:sz w:val="24"/>
          <w:szCs w:val="24"/>
        </w:rPr>
        <w:t>ing a consistent, informed, and respectful approach across all settings.</w:t>
      </w:r>
    </w:p>
    <w:p w14:paraId="57B6F8B1" w14:textId="77777777" w:rsidR="00A17B67" w:rsidRDefault="00A27099">
      <w:pPr>
        <w:pStyle w:val="Heading1"/>
        <w:spacing w:before="280"/>
        <w:rPr>
          <w:rFonts w:ascii="Calibri" w:eastAsia="Calibri" w:hAnsi="Calibri" w:cs="Calibri"/>
          <w:b/>
          <w:color w:val="434343"/>
          <w:sz w:val="36"/>
          <w:szCs w:val="36"/>
        </w:rPr>
      </w:pPr>
      <w:bookmarkStart w:id="6" w:name="_hgxtdoq7dga2" w:colFirst="0" w:colLast="0"/>
      <w:bookmarkEnd w:id="6"/>
      <w:r>
        <w:rPr>
          <w:rFonts w:ascii="Calibri" w:eastAsia="Calibri" w:hAnsi="Calibri" w:cs="Calibri"/>
          <w:b/>
          <w:color w:val="434343"/>
          <w:sz w:val="36"/>
          <w:szCs w:val="36"/>
        </w:rPr>
        <w:t>Addressing the Needs of Multilingual Learners</w:t>
      </w:r>
    </w:p>
    <w:p w14:paraId="216F8089" w14:textId="77777777" w:rsidR="00A17B67" w:rsidRDefault="00A27099">
      <w:pPr>
        <w:spacing w:before="240" w:after="240"/>
        <w:rPr>
          <w:rFonts w:ascii="Calibri" w:eastAsia="Calibri" w:hAnsi="Calibri" w:cs="Calibri"/>
          <w:sz w:val="24"/>
          <w:szCs w:val="24"/>
        </w:rPr>
      </w:pPr>
      <w:r>
        <w:rPr>
          <w:rFonts w:ascii="Calibri" w:eastAsia="Calibri" w:hAnsi="Calibri" w:cs="Calibri"/>
          <w:sz w:val="24"/>
          <w:szCs w:val="24"/>
        </w:rPr>
        <w:t xml:space="preserve">For many multilingual learners, especially newcomers, personal electronic devices (PEDs) are essential learning tools. These devices support real-time translation, aid comprehension across content areas, and help students access academic resources in their home languages. In classrooms where language barriers can </w:t>
      </w:r>
      <w:r>
        <w:rPr>
          <w:rFonts w:ascii="Calibri" w:eastAsia="Calibri" w:hAnsi="Calibri" w:cs="Calibri"/>
          <w:sz w:val="24"/>
          <w:szCs w:val="24"/>
        </w:rPr>
        <w:lastRenderedPageBreak/>
        <w:t>impede understanding, PEDs have the potential to provide immediate support that allows students to engage more fully with instruction and participate more confidently in their learning.</w:t>
      </w:r>
    </w:p>
    <w:p w14:paraId="4DA2C044" w14:textId="77777777" w:rsidR="00A17B67" w:rsidRDefault="00A27099">
      <w:pPr>
        <w:ind w:right="600"/>
        <w:rPr>
          <w:rFonts w:ascii="Calibri" w:eastAsia="Calibri" w:hAnsi="Calibri" w:cs="Calibri"/>
          <w:sz w:val="24"/>
          <w:szCs w:val="24"/>
        </w:rPr>
      </w:pPr>
      <w:r>
        <w:rPr>
          <w:rFonts w:ascii="Calibri" w:eastAsia="Calibri" w:hAnsi="Calibri" w:cs="Calibri"/>
          <w:sz w:val="24"/>
          <w:szCs w:val="24"/>
        </w:rPr>
        <w:t>While district-level Personal Electronic Device (PED) policies must meet the requirements of Executive Order 25-09, they can also allow for school-based discretion in meeting the unique needs of specific student populations. Alternatively, schools may grant exemptions for individual students, provided these decisions align with the broader district-wide policy. If the exemption is not built into the district-wide policy, schools must submit a separate exemption form for each student. This approach maintains</w:t>
      </w:r>
      <w:r>
        <w:rPr>
          <w:rFonts w:ascii="Calibri" w:eastAsia="Calibri" w:hAnsi="Calibri" w:cs="Calibri"/>
          <w:sz w:val="24"/>
          <w:szCs w:val="24"/>
        </w:rPr>
        <w:t xml:space="preserve"> consistency with state expectations while allowing flexibility to meet the immediate needs and lived experiences of multilingual learners.</w:t>
      </w:r>
    </w:p>
    <w:p w14:paraId="77B6C8E4" w14:textId="77777777" w:rsidR="00A17B67" w:rsidRDefault="00A17B67">
      <w:pPr>
        <w:ind w:right="600"/>
        <w:rPr>
          <w:rFonts w:ascii="Calibri" w:eastAsia="Calibri" w:hAnsi="Calibri" w:cs="Calibri"/>
          <w:sz w:val="24"/>
          <w:szCs w:val="24"/>
        </w:rPr>
      </w:pPr>
    </w:p>
    <w:p w14:paraId="3A45CB04" w14:textId="77777777" w:rsidR="00A17B67" w:rsidRDefault="00A27099">
      <w:pPr>
        <w:ind w:right="600"/>
        <w:rPr>
          <w:rFonts w:ascii="Calibri" w:eastAsia="Calibri" w:hAnsi="Calibri" w:cs="Calibri"/>
          <w:sz w:val="24"/>
          <w:szCs w:val="24"/>
        </w:rPr>
      </w:pPr>
      <w:r>
        <w:rPr>
          <w:rFonts w:ascii="Calibri" w:eastAsia="Calibri" w:hAnsi="Calibri" w:cs="Calibri"/>
          <w:sz w:val="24"/>
          <w:szCs w:val="24"/>
        </w:rPr>
        <w:t xml:space="preserve">These exemptions do not necessarily need to be written into the district-wide policy but can be developed and implemented at the school level, </w:t>
      </w:r>
      <w:proofErr w:type="gramStart"/>
      <w:r>
        <w:rPr>
          <w:rFonts w:ascii="Calibri" w:eastAsia="Calibri" w:hAnsi="Calibri" w:cs="Calibri"/>
          <w:sz w:val="24"/>
          <w:szCs w:val="24"/>
        </w:rPr>
        <w:t>as long as</w:t>
      </w:r>
      <w:proofErr w:type="gramEnd"/>
      <w:r>
        <w:rPr>
          <w:rFonts w:ascii="Calibri" w:eastAsia="Calibri" w:hAnsi="Calibri" w:cs="Calibri"/>
          <w:sz w:val="24"/>
          <w:szCs w:val="24"/>
        </w:rPr>
        <w:t xml:space="preserve"> they align with the broader policy framework. However, if the exemptions are not included in the district-wide policy, an exemption form will need to be submitted for each individual student. Doing so ensures that the policy remains both consistent and </w:t>
      </w:r>
      <w:proofErr w:type="gramStart"/>
      <w:r>
        <w:rPr>
          <w:rFonts w:ascii="Calibri" w:eastAsia="Calibri" w:hAnsi="Calibri" w:cs="Calibri"/>
          <w:sz w:val="24"/>
          <w:szCs w:val="24"/>
        </w:rPr>
        <w:t>responsive</w:t>
      </w:r>
      <w:proofErr w:type="gramEnd"/>
      <w:r>
        <w:rPr>
          <w:rFonts w:ascii="Calibri" w:eastAsia="Calibri" w:hAnsi="Calibri" w:cs="Calibri"/>
          <w:sz w:val="24"/>
          <w:szCs w:val="24"/>
        </w:rPr>
        <w:t xml:space="preserve"> meeting state expectations while honoring the lived experiences and immediate needs of multilingual learners.</w:t>
      </w:r>
    </w:p>
    <w:p w14:paraId="228A196B" w14:textId="77777777" w:rsidR="00A17B67" w:rsidRDefault="00A17B67">
      <w:pPr>
        <w:ind w:right="600"/>
        <w:rPr>
          <w:rFonts w:ascii="Calibri" w:eastAsia="Calibri" w:hAnsi="Calibri" w:cs="Calibri"/>
          <w:sz w:val="24"/>
          <w:szCs w:val="24"/>
        </w:rPr>
      </w:pPr>
    </w:p>
    <w:tbl>
      <w:tblPr>
        <w:tblStyle w:val="a2"/>
        <w:tblW w:w="108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10800"/>
      </w:tblGrid>
      <w:tr w:rsidR="00A17B67" w14:paraId="2B03CBC0" w14:textId="77777777" w:rsidTr="00A27099">
        <w:tc>
          <w:tcPr>
            <w:tcW w:w="10800" w:type="dxa"/>
            <w:shd w:val="clear" w:color="auto" w:fill="027F42"/>
            <w:tcMar>
              <w:top w:w="100" w:type="dxa"/>
              <w:left w:w="100" w:type="dxa"/>
              <w:bottom w:w="100" w:type="dxa"/>
              <w:right w:w="100" w:type="dxa"/>
            </w:tcMar>
          </w:tcPr>
          <w:p w14:paraId="26FDE3DB" w14:textId="77777777" w:rsidR="00A17B67" w:rsidRDefault="00A27099">
            <w:pPr>
              <w:pStyle w:val="Heading3"/>
              <w:keepNext w:val="0"/>
              <w:keepLines w:val="0"/>
              <w:spacing w:before="0"/>
              <w:jc w:val="center"/>
              <w:rPr>
                <w:rFonts w:ascii="Calibri" w:eastAsia="Calibri" w:hAnsi="Calibri" w:cs="Calibri"/>
                <w:b/>
                <w:color w:val="FFFFFF"/>
                <w:sz w:val="24"/>
                <w:szCs w:val="24"/>
              </w:rPr>
            </w:pPr>
            <w:bookmarkStart w:id="7" w:name="_w9mqf4krqphe" w:colFirst="0" w:colLast="0"/>
            <w:bookmarkEnd w:id="7"/>
            <w:r>
              <w:rPr>
                <w:rFonts w:ascii="Calibri" w:eastAsia="Calibri" w:hAnsi="Calibri" w:cs="Calibri"/>
                <w:b/>
                <w:color w:val="FFFFFF"/>
                <w:sz w:val="24"/>
                <w:szCs w:val="24"/>
              </w:rPr>
              <w:t xml:space="preserve">A Bridge for Multilingual Learners, </w:t>
            </w:r>
            <w:proofErr w:type="gramStart"/>
            <w:r>
              <w:rPr>
                <w:rFonts w:ascii="Calibri" w:eastAsia="Calibri" w:hAnsi="Calibri" w:cs="Calibri"/>
                <w:b/>
                <w:color w:val="FFFFFF"/>
                <w:sz w:val="24"/>
                <w:szCs w:val="24"/>
              </w:rPr>
              <w:t>Not</w:t>
            </w:r>
            <w:proofErr w:type="gramEnd"/>
            <w:r>
              <w:rPr>
                <w:rFonts w:ascii="Calibri" w:eastAsia="Calibri" w:hAnsi="Calibri" w:cs="Calibri"/>
                <w:b/>
                <w:color w:val="FFFFFF"/>
                <w:sz w:val="24"/>
                <w:szCs w:val="24"/>
              </w:rPr>
              <w:t xml:space="preserve"> a Barrier</w:t>
            </w:r>
          </w:p>
          <w:p w14:paraId="751B150F" w14:textId="77777777" w:rsidR="00A17B67" w:rsidRDefault="00A27099">
            <w:pPr>
              <w:jc w:val="center"/>
              <w:rPr>
                <w:rFonts w:ascii="Calibri" w:eastAsia="Calibri" w:hAnsi="Calibri" w:cs="Calibri"/>
                <w:color w:val="FFFFFF"/>
                <w:sz w:val="24"/>
                <w:szCs w:val="24"/>
              </w:rPr>
            </w:pPr>
            <w:r>
              <w:rPr>
                <w:rFonts w:ascii="Calibri" w:eastAsia="Calibri" w:hAnsi="Calibri" w:cs="Calibri"/>
                <w:color w:val="FFFFFF"/>
                <w:sz w:val="24"/>
                <w:szCs w:val="24"/>
              </w:rPr>
              <w:t>“For many multilingual learners, a phone is more than a distraction. It is a bridge. When we remove that bridge without replacing it, we risk isolating the very students we aim to include.”</w:t>
            </w:r>
          </w:p>
        </w:tc>
      </w:tr>
    </w:tbl>
    <w:p w14:paraId="4BAC3C6C" w14:textId="77777777" w:rsidR="00A17B67" w:rsidRDefault="00A27099">
      <w:pPr>
        <w:pStyle w:val="Heading1"/>
        <w:widowControl w:val="0"/>
        <w:spacing w:before="240" w:after="240" w:line="240" w:lineRule="auto"/>
        <w:rPr>
          <w:rFonts w:ascii="Calibri" w:eastAsia="Calibri" w:hAnsi="Calibri" w:cs="Calibri"/>
          <w:b/>
          <w:color w:val="434343"/>
          <w:sz w:val="36"/>
          <w:szCs w:val="36"/>
        </w:rPr>
      </w:pPr>
      <w:bookmarkStart w:id="8" w:name="_5yozqpv5j66f" w:colFirst="0" w:colLast="0"/>
      <w:bookmarkEnd w:id="8"/>
      <w:r>
        <w:rPr>
          <w:rFonts w:ascii="Calibri" w:eastAsia="Calibri" w:hAnsi="Calibri" w:cs="Calibri"/>
          <w:b/>
          <w:color w:val="434343"/>
          <w:sz w:val="36"/>
          <w:szCs w:val="36"/>
        </w:rPr>
        <w:t>Virtual Learning Environments and EO 25-09</w:t>
      </w:r>
    </w:p>
    <w:p w14:paraId="2996D380" w14:textId="77777777" w:rsidR="00A17B67" w:rsidRDefault="00A27099">
      <w:pPr>
        <w:widowControl w:val="0"/>
        <w:spacing w:before="240" w:after="240" w:line="240" w:lineRule="auto"/>
        <w:rPr>
          <w:rFonts w:ascii="Calibri" w:eastAsia="Calibri" w:hAnsi="Calibri" w:cs="Calibri"/>
          <w:sz w:val="24"/>
          <w:szCs w:val="24"/>
        </w:rPr>
      </w:pPr>
      <w:r>
        <w:rPr>
          <w:rFonts w:ascii="Calibri" w:eastAsia="Calibri" w:hAnsi="Calibri" w:cs="Calibri"/>
          <w:sz w:val="24"/>
          <w:szCs w:val="24"/>
        </w:rPr>
        <w:t>While Executive Order 25-09 focuses on reducing distractions from personal electronic devices (PEDs) during in-person instructional hours, virtual learning environments present unique circumstances. In these settings, a student’s device is often the primary means for accessing lessons, participating in discussions, and completing assignments.</w:t>
      </w:r>
    </w:p>
    <w:p w14:paraId="1A3CAE4B" w14:textId="77777777" w:rsidR="00A17B67" w:rsidRDefault="00A27099">
      <w:pPr>
        <w:widowControl w:val="0"/>
        <w:spacing w:before="240" w:after="240" w:line="240" w:lineRule="auto"/>
        <w:rPr>
          <w:rFonts w:ascii="Calibri" w:eastAsia="Calibri" w:hAnsi="Calibri" w:cs="Calibri"/>
          <w:sz w:val="24"/>
          <w:szCs w:val="24"/>
        </w:rPr>
      </w:pPr>
      <w:r>
        <w:rPr>
          <w:rFonts w:ascii="Calibri" w:eastAsia="Calibri" w:hAnsi="Calibri" w:cs="Calibri"/>
          <w:sz w:val="24"/>
          <w:szCs w:val="24"/>
        </w:rPr>
        <w:t>To uphold the intent of EO 25-09, promoting focus, supporting mental health, and fostering engagement, virtual schools can:</w:t>
      </w:r>
    </w:p>
    <w:p w14:paraId="24F73017" w14:textId="77777777" w:rsidR="00A17B67" w:rsidRDefault="00A27099">
      <w:pPr>
        <w:widowControl w:val="0"/>
        <w:numPr>
          <w:ilvl w:val="0"/>
          <w:numId w:val="2"/>
        </w:numPr>
        <w:spacing w:before="240" w:line="240" w:lineRule="auto"/>
        <w:rPr>
          <w:rFonts w:ascii="Calibri" w:eastAsia="Calibri" w:hAnsi="Calibri" w:cs="Calibri"/>
          <w:sz w:val="24"/>
          <w:szCs w:val="24"/>
        </w:rPr>
      </w:pPr>
      <w:r>
        <w:rPr>
          <w:rFonts w:ascii="Calibri" w:eastAsia="Calibri" w:hAnsi="Calibri" w:cs="Calibri"/>
          <w:sz w:val="24"/>
          <w:szCs w:val="24"/>
        </w:rPr>
        <w:t xml:space="preserve">Clearly define appropriate </w:t>
      </w:r>
      <w:proofErr w:type="gramStart"/>
      <w:r>
        <w:rPr>
          <w:rFonts w:ascii="Calibri" w:eastAsia="Calibri" w:hAnsi="Calibri" w:cs="Calibri"/>
          <w:sz w:val="24"/>
          <w:szCs w:val="24"/>
        </w:rPr>
        <w:t>device use</w:t>
      </w:r>
      <w:proofErr w:type="gramEnd"/>
      <w:r>
        <w:rPr>
          <w:rFonts w:ascii="Calibri" w:eastAsia="Calibri" w:hAnsi="Calibri" w:cs="Calibri"/>
          <w:sz w:val="24"/>
          <w:szCs w:val="24"/>
        </w:rPr>
        <w:t xml:space="preserve"> for instruction versus non-instructional activities.</w:t>
      </w:r>
    </w:p>
    <w:p w14:paraId="39FCA8B7" w14:textId="77777777" w:rsidR="00A17B67" w:rsidRDefault="00A27099">
      <w:pPr>
        <w:widowControl w:val="0"/>
        <w:numPr>
          <w:ilvl w:val="0"/>
          <w:numId w:val="2"/>
        </w:numPr>
        <w:spacing w:line="240" w:lineRule="auto"/>
        <w:rPr>
          <w:rFonts w:ascii="Calibri" w:eastAsia="Calibri" w:hAnsi="Calibri" w:cs="Calibri"/>
          <w:sz w:val="24"/>
          <w:szCs w:val="24"/>
        </w:rPr>
      </w:pPr>
      <w:r>
        <w:rPr>
          <w:rFonts w:ascii="Calibri" w:eastAsia="Calibri" w:hAnsi="Calibri" w:cs="Calibri"/>
          <w:sz w:val="24"/>
          <w:szCs w:val="24"/>
        </w:rPr>
        <w:t>Encourage platform settings and norms that minimize off-task notifications and distractions.</w:t>
      </w:r>
    </w:p>
    <w:p w14:paraId="2CE13D76" w14:textId="77777777" w:rsidR="00A17B67" w:rsidRDefault="00A27099">
      <w:pPr>
        <w:widowControl w:val="0"/>
        <w:numPr>
          <w:ilvl w:val="0"/>
          <w:numId w:val="2"/>
        </w:numPr>
        <w:spacing w:line="240" w:lineRule="auto"/>
        <w:rPr>
          <w:rFonts w:ascii="Calibri" w:eastAsia="Calibri" w:hAnsi="Calibri" w:cs="Calibri"/>
          <w:sz w:val="24"/>
          <w:szCs w:val="24"/>
        </w:rPr>
      </w:pPr>
      <w:r>
        <w:rPr>
          <w:rFonts w:ascii="Calibri" w:eastAsia="Calibri" w:hAnsi="Calibri" w:cs="Calibri"/>
          <w:sz w:val="24"/>
          <w:szCs w:val="24"/>
        </w:rPr>
        <w:t>Maintain equity and accessibility by providing alternatives for students without appropriate devices or with specific learning or accessibility needs.</w:t>
      </w:r>
    </w:p>
    <w:p w14:paraId="57FFAE8F" w14:textId="77777777" w:rsidR="00A17B67" w:rsidRDefault="00A27099">
      <w:pPr>
        <w:widowControl w:val="0"/>
        <w:numPr>
          <w:ilvl w:val="0"/>
          <w:numId w:val="2"/>
        </w:numPr>
        <w:spacing w:line="240" w:lineRule="auto"/>
        <w:rPr>
          <w:rFonts w:ascii="Calibri" w:eastAsia="Calibri" w:hAnsi="Calibri" w:cs="Calibri"/>
          <w:sz w:val="24"/>
          <w:szCs w:val="24"/>
        </w:rPr>
      </w:pPr>
      <w:r>
        <w:rPr>
          <w:rFonts w:ascii="Calibri" w:eastAsia="Calibri" w:hAnsi="Calibri" w:cs="Calibri"/>
          <w:sz w:val="24"/>
          <w:szCs w:val="24"/>
        </w:rPr>
        <w:t>Integrate digital citizenship and self-management skills into the instructional program to help students develop healthy technology habits.</w:t>
      </w:r>
    </w:p>
    <w:p w14:paraId="06D883DC" w14:textId="77777777" w:rsidR="00A17B67" w:rsidRDefault="00A27099">
      <w:pPr>
        <w:widowControl w:val="0"/>
        <w:numPr>
          <w:ilvl w:val="0"/>
          <w:numId w:val="2"/>
        </w:numPr>
        <w:spacing w:after="240" w:line="240" w:lineRule="auto"/>
        <w:rPr>
          <w:rFonts w:ascii="Calibri" w:eastAsia="Calibri" w:hAnsi="Calibri" w:cs="Calibri"/>
          <w:sz w:val="24"/>
          <w:szCs w:val="24"/>
        </w:rPr>
      </w:pPr>
      <w:r>
        <w:rPr>
          <w:rFonts w:ascii="Calibri" w:eastAsia="Calibri" w:hAnsi="Calibri" w:cs="Calibri"/>
          <w:sz w:val="24"/>
          <w:szCs w:val="24"/>
        </w:rPr>
        <w:t>Use mechanisms like a student code of conduct to support limiting non-instructional cell phone use during the school day.</w:t>
      </w:r>
    </w:p>
    <w:p w14:paraId="3B475594" w14:textId="77777777" w:rsidR="00A17B67" w:rsidRDefault="00A27099">
      <w:pPr>
        <w:widowControl w:val="0"/>
        <w:spacing w:before="240" w:after="240" w:line="240" w:lineRule="auto"/>
      </w:pPr>
      <w:r>
        <w:rPr>
          <w:rFonts w:ascii="Calibri" w:eastAsia="Calibri" w:hAnsi="Calibri" w:cs="Calibri"/>
          <w:sz w:val="24"/>
          <w:szCs w:val="24"/>
        </w:rPr>
        <w:t xml:space="preserve">By applying the EO’s principles thoughtfully in digital settings, virtual schools can preserve </w:t>
      </w:r>
      <w:proofErr w:type="gramStart"/>
      <w:r>
        <w:rPr>
          <w:rFonts w:ascii="Calibri" w:eastAsia="Calibri" w:hAnsi="Calibri" w:cs="Calibri"/>
          <w:sz w:val="24"/>
          <w:szCs w:val="24"/>
        </w:rPr>
        <w:t>its</w:t>
      </w:r>
      <w:proofErr w:type="gramEnd"/>
      <w:r>
        <w:rPr>
          <w:rFonts w:ascii="Calibri" w:eastAsia="Calibri" w:hAnsi="Calibri" w:cs="Calibri"/>
          <w:sz w:val="24"/>
          <w:szCs w:val="24"/>
        </w:rPr>
        <w:t xml:space="preserve"> core goals while recognizing the realities of technology-enabled learning.</w:t>
      </w:r>
    </w:p>
    <w:sectPr w:rsidR="00A17B67">
      <w:footerReference w:type="default" r:id="rId8"/>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C6B9E" w14:textId="77777777" w:rsidR="00A27099" w:rsidRDefault="00A27099">
      <w:pPr>
        <w:spacing w:line="240" w:lineRule="auto"/>
      </w:pPr>
      <w:r>
        <w:separator/>
      </w:r>
    </w:p>
  </w:endnote>
  <w:endnote w:type="continuationSeparator" w:id="0">
    <w:p w14:paraId="2589BE7C" w14:textId="77777777" w:rsidR="00A27099" w:rsidRDefault="00A270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3F22672-A187-4D94-85F8-7781F16B34AE}"/>
    <w:embedBold r:id="rId2" w:fontKey="{AB7F4429-5C90-45B6-B66D-72DD0982912C}"/>
  </w:font>
  <w:font w:name="Arimo">
    <w:charset w:val="00"/>
    <w:family w:val="auto"/>
    <w:pitch w:val="default"/>
    <w:embedRegular r:id="rId3" w:fontKey="{5143AB1D-5A75-48B6-8B58-BC45AEDE3FD8}"/>
  </w:font>
  <w:font w:name="Cambria">
    <w:panose1 w:val="02040503050406030204"/>
    <w:charset w:val="00"/>
    <w:family w:val="roman"/>
    <w:pitch w:val="variable"/>
    <w:sig w:usb0="E00006FF" w:usb1="420024FF" w:usb2="02000000" w:usb3="00000000" w:csb0="0000019F" w:csb1="00000000"/>
    <w:embedRegular r:id="rId4" w:fontKey="{A3D6ED51-77C6-42DB-B5D2-B93690708C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8E66D" w14:textId="77777777" w:rsidR="00A17B67" w:rsidRDefault="00A27099">
    <w:pPr>
      <w:jc w:val="right"/>
      <w:rPr>
        <w:rFonts w:ascii="Calibri" w:eastAsia="Calibri" w:hAnsi="Calibri" w:cs="Calibri"/>
        <w:color w:val="FFFFFF"/>
        <w:sz w:val="24"/>
        <w:szCs w:val="24"/>
      </w:rPr>
    </w:pPr>
    <w:r>
      <w:rPr>
        <w:rFonts w:ascii="Calibri" w:eastAsia="Calibri" w:hAnsi="Calibri" w:cs="Calibri"/>
        <w:sz w:val="24"/>
        <w:szCs w:val="24"/>
      </w:rPr>
      <w:fldChar w:fldCharType="begin"/>
    </w:r>
    <w:r>
      <w:rPr>
        <w:rFonts w:ascii="Calibri" w:eastAsia="Calibri" w:hAnsi="Calibri" w:cs="Calibri"/>
        <w:sz w:val="24"/>
        <w:szCs w:val="24"/>
      </w:rPr>
      <w:instrText>PAGE</w:instrText>
    </w:r>
    <w:r>
      <w:rPr>
        <w:rFonts w:ascii="Calibri" w:eastAsia="Calibri" w:hAnsi="Calibri" w:cs="Calibri"/>
        <w:sz w:val="24"/>
        <w:szCs w:val="24"/>
      </w:rPr>
      <w:fldChar w:fldCharType="separate"/>
    </w:r>
    <w:r>
      <w:rPr>
        <w:rFonts w:ascii="Calibri" w:eastAsia="Calibri" w:hAnsi="Calibri" w:cs="Calibri"/>
        <w:noProof/>
        <w:sz w:val="24"/>
        <w:szCs w:val="24"/>
      </w:rPr>
      <w:t>1</w:t>
    </w:r>
    <w:r>
      <w:rPr>
        <w:rFonts w:ascii="Calibri" w:eastAsia="Calibri" w:hAnsi="Calibri" w:cs="Calibri"/>
        <w:sz w:val="24"/>
        <w:szCs w:val="24"/>
      </w:rPr>
      <w:fldChar w:fldCharType="end"/>
    </w:r>
  </w:p>
  <w:p w14:paraId="06BC9E7F" w14:textId="77777777" w:rsidR="00A17B67" w:rsidRDefault="00A17B67">
    <w:pPr>
      <w:jc w:val="right"/>
      <w:rPr>
        <w:rFonts w:ascii="Calibri" w:eastAsia="Calibri" w:hAnsi="Calibri" w:cs="Calibri"/>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0E0F8" w14:textId="77777777" w:rsidR="00A27099" w:rsidRDefault="00A27099">
      <w:pPr>
        <w:spacing w:line="240" w:lineRule="auto"/>
      </w:pPr>
      <w:r>
        <w:separator/>
      </w:r>
    </w:p>
  </w:footnote>
  <w:footnote w:type="continuationSeparator" w:id="0">
    <w:p w14:paraId="61CFEC6F" w14:textId="77777777" w:rsidR="00A27099" w:rsidRDefault="00A2709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D12A38"/>
    <w:multiLevelType w:val="multilevel"/>
    <w:tmpl w:val="C256FC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D5C052C"/>
    <w:multiLevelType w:val="multilevel"/>
    <w:tmpl w:val="30F21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7F132AF"/>
    <w:multiLevelType w:val="multilevel"/>
    <w:tmpl w:val="209C5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E25308E"/>
    <w:multiLevelType w:val="multilevel"/>
    <w:tmpl w:val="D6ECA8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57740713">
    <w:abstractNumId w:val="1"/>
  </w:num>
  <w:num w:numId="2" w16cid:durableId="509754089">
    <w:abstractNumId w:val="3"/>
  </w:num>
  <w:num w:numId="3" w16cid:durableId="437718190">
    <w:abstractNumId w:val="0"/>
  </w:num>
  <w:num w:numId="4" w16cid:durableId="115036414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7B67"/>
    <w:rsid w:val="002A1089"/>
    <w:rsid w:val="00A17B67"/>
    <w:rsid w:val="00A270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793BD"/>
  <w15:docId w15:val="{447F1A4C-C178-44B6-ADEA-99643D60F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www.oregon.gov/ode/educator-resources/teachingcontent/Documents/OSBA%20Model%20Sample%20Policy.docx"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1.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94ED7EDA588641BA2DB1F50476E00F" ma:contentTypeVersion="7" ma:contentTypeDescription="Create a new document." ma:contentTypeScope="" ma:versionID="0a9e8130626d1a06b818d0bd9e76f391">
  <xsd:schema xmlns:xsd="http://www.w3.org/2001/XMLSchema" xmlns:xs="http://www.w3.org/2001/XMLSchema" xmlns:p="http://schemas.microsoft.com/office/2006/metadata/properties" xmlns:ns1="http://schemas.microsoft.com/sharepoint/v3" xmlns:ns2="17b1815e-ed97-4038-8b4f-b32987102c36" xmlns:ns3="54031767-dd6d-417c-ab73-583408f47564" targetNamespace="http://schemas.microsoft.com/office/2006/metadata/properties" ma:root="true" ma:fieldsID="43356d1e2cbf76ed9bc84ba3813c774f" ns1:_="" ns2:_="" ns3:_="">
    <xsd:import namespace="http://schemas.microsoft.com/sharepoint/v3"/>
    <xsd:import namespace="17b1815e-ed97-4038-8b4f-b32987102c36"/>
    <xsd:import namespace="54031767-dd6d-417c-ab73-583408f47564"/>
    <xsd:element name="properties">
      <xsd:complexType>
        <xsd:sequence>
          <xsd:element name="documentManagement">
            <xsd:complexType>
              <xsd:all>
                <xsd:element ref="ns1:PublishingStartDate" minOccurs="0"/>
                <xsd:element ref="ns1:PublishingExpirationDate" minOccurs="0"/>
                <xsd:element ref="ns2:Estimated_x0020_Creation_x0020_Date" minOccurs="0"/>
                <xsd:element ref="ns2:Remediation_x0020_Date" minOccurs="0"/>
                <xsd:element ref="ns2:Priority"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4"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5"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b1815e-ed97-4038-8b4f-b32987102c36" elementFormDefault="qualified">
    <xsd:import namespace="http://schemas.microsoft.com/office/2006/documentManagement/types"/>
    <xsd:import namespace="http://schemas.microsoft.com/office/infopath/2007/PartnerControls"/>
    <xsd:element name="Estimated_x0020_Creation_x0020_Date" ma:index="6" nillable="true" ma:displayName="Estimated Creation Date" ma:format="DateOnly" ma:internalName="Estimated_x0020_Creation_x0020_Date" ma:readOnly="false">
      <xsd:simpleType>
        <xsd:restriction base="dms:DateTime"/>
      </xsd:simpleType>
    </xsd:element>
    <xsd:element name="Remediation_x0020_Date" ma:index="7" nillable="true" ma:displayName="Remediation Date" ma:default="[today]" ma:format="DateOnly" ma:internalName="Remediation_x0020_Date" ma:readOnly="false">
      <xsd:simpleType>
        <xsd:restriction base="dms:DateTime"/>
      </xsd:simpleType>
    </xsd:element>
    <xsd:element name="Priority" ma:index="8" nillable="true" ma:displayName="Priority" ma:default="New" ma:description="What Priority Level Is This Document?" ma:format="RadioButtons" ma:internalName="Priority" ma:readOnly="false">
      <xsd:simpleType>
        <xsd:restriction base="dms:Choice">
          <xsd:enumeration value="New"/>
          <xsd:enumeration value="Legacy"/>
          <xsd:enumeration value="Tier 1"/>
          <xsd:enumeration value="Tier 2"/>
          <xsd:enumeration value="Tier 3"/>
        </xsd:restriction>
      </xsd:simpleType>
    </xsd:element>
  </xsd:schema>
  <xsd:schema xmlns:xsd="http://www.w3.org/2001/XMLSchema" xmlns:xs="http://www.w3.org/2001/XMLSchema" xmlns:dms="http://schemas.microsoft.com/office/2006/documentManagement/types" xmlns:pc="http://schemas.microsoft.com/office/infopath/2007/PartnerControls" targetNamespace="54031767-dd6d-417c-ab73-583408f4756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riority xmlns="17b1815e-ed97-4038-8b4f-b32987102c36">New</Priority>
    <Remediation_x0020_Date xmlns="17b1815e-ed97-4038-8b4f-b32987102c36">2025-08-29T23:21:37+00:00</Remediation_x0020_Date>
    <PublishingExpirationDate xmlns="http://schemas.microsoft.com/sharepoint/v3" xsi:nil="true"/>
    <PublishingStartDate xmlns="http://schemas.microsoft.com/sharepoint/v3" xsi:nil="true"/>
    <Estimated_x0020_Creation_x0020_Date xmlns="17b1815e-ed97-4038-8b4f-b32987102c36" xsi:nil="true"/>
  </documentManagement>
</p:properties>
</file>

<file path=customXml/itemProps1.xml><?xml version="1.0" encoding="utf-8"?>
<ds:datastoreItem xmlns:ds="http://schemas.openxmlformats.org/officeDocument/2006/customXml" ds:itemID="{CFBD1B7C-3BCD-4BCC-90B4-27D5C577737C}"/>
</file>

<file path=customXml/itemProps2.xml><?xml version="1.0" encoding="utf-8"?>
<ds:datastoreItem xmlns:ds="http://schemas.openxmlformats.org/officeDocument/2006/customXml" ds:itemID="{6373EA9A-50FD-42E9-A397-548ED87946F1}"/>
</file>

<file path=customXml/itemProps3.xml><?xml version="1.0" encoding="utf-8"?>
<ds:datastoreItem xmlns:ds="http://schemas.openxmlformats.org/officeDocument/2006/customXml" ds:itemID="{422C08AB-7C47-4E26-9F08-97A540BC2016}"/>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4</Pages>
  <Words>1512</Words>
  <Characters>9032</Characters>
  <Application>Microsoft Office Word</Application>
  <DocSecurity>0</DocSecurity>
  <Lines>164</Lines>
  <Paragraphs>93</Paragraphs>
  <ScaleCrop>false</ScaleCrop>
  <Company/>
  <LinksUpToDate>false</LinksUpToDate>
  <CharactersWithSpaces>10451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MASSA-MACLEOD Elizabeth * ODE</dc:creator>
  <cp:lastModifiedBy>MASSA-MACLEOD Elizabeth * ODE</cp:lastModifiedBy>
  <cp:revision>2</cp:revision>
  <dcterms:created xsi:type="dcterms:W3CDTF">2025-08-29T22:55:00Z</dcterms:created>
  <dcterms:modified xsi:type="dcterms:W3CDTF">2025-08-29T22:55:00Z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0x0101005E94ED7EDA588641BA2DB1F50476E00F</vt:lpwstr>
  </property>
</Properties>
</file>